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F5006E" w:rsidP="00BA0C7E">
      <w:pPr>
        <w:jc w:val="both"/>
        <w:rPr>
          <w:shadow/>
          <w:color w:val="333333"/>
        </w:rPr>
      </w:pPr>
      <w:r w:rsidRPr="00F500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82.9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F5006E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0972334" r:id="rId10"/>
        </w:object>
      </w:r>
    </w:p>
    <w:p w:rsidR="00BA0C7E" w:rsidRPr="004868D5" w:rsidRDefault="00F5006E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F17F6D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07</w:t>
      </w:r>
      <w:r w:rsidR="00FD2078">
        <w:rPr>
          <w:rFonts w:ascii="Verdana" w:hAnsi="Verdana"/>
          <w:sz w:val="22"/>
          <w:szCs w:val="22"/>
        </w:rPr>
        <w:t>.05</w:t>
      </w:r>
      <w:r w:rsidR="00425E97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Default="00BA71B5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RIZP.271.5</w:t>
      </w:r>
      <w:r w:rsidR="00425E97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3D7594" w:rsidRPr="00BA71B5" w:rsidRDefault="003D7594" w:rsidP="00BA0C7E">
      <w:pPr>
        <w:rPr>
          <w:rFonts w:ascii="Verdana" w:hAnsi="Verdana"/>
          <w:b/>
          <w:sz w:val="22"/>
          <w:szCs w:val="22"/>
        </w:rPr>
      </w:pPr>
    </w:p>
    <w:p w:rsidR="00BE7C84" w:rsidRDefault="00BE7C84" w:rsidP="003D7594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61233C" w:rsidRDefault="0061233C" w:rsidP="003D7594">
      <w:pPr>
        <w:rPr>
          <w:rFonts w:ascii="Verdana" w:hAnsi="Verdana"/>
          <w:b/>
          <w:sz w:val="36"/>
          <w:szCs w:val="36"/>
        </w:rPr>
      </w:pPr>
    </w:p>
    <w:p w:rsidR="00044F9F" w:rsidRPr="004868D5" w:rsidRDefault="00481D82" w:rsidP="00044F9F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Odpowiedzi na zapytania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FE24B7" w:rsidRPr="005014CF" w:rsidRDefault="00FE24B7" w:rsidP="00FE24B7">
      <w:pPr>
        <w:jc w:val="center"/>
        <w:rPr>
          <w:rFonts w:ascii="Verdana" w:hAnsi="Verdana"/>
          <w:b/>
          <w:sz w:val="28"/>
          <w:szCs w:val="28"/>
        </w:rPr>
      </w:pPr>
      <w:r w:rsidRPr="005014CF">
        <w:rPr>
          <w:rFonts w:ascii="Verdana" w:hAnsi="Verdana"/>
          <w:b/>
          <w:sz w:val="28"/>
          <w:szCs w:val="28"/>
        </w:rPr>
        <w:t xml:space="preserve">Przebudowa dróg w ulicach Armii Czerwonej, Czujnej </w:t>
      </w:r>
      <w:r w:rsidRPr="005014CF">
        <w:rPr>
          <w:rFonts w:ascii="Verdana" w:hAnsi="Verdana"/>
          <w:b/>
          <w:sz w:val="28"/>
          <w:szCs w:val="28"/>
        </w:rPr>
        <w:br/>
        <w:t>i Brzeźnickiej oraz 26 Lutego w Białym Borze</w:t>
      </w:r>
    </w:p>
    <w:p w:rsidR="0061233C" w:rsidRDefault="0061233C" w:rsidP="00FE24B7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FE24B7" w:rsidRDefault="00FA03ED" w:rsidP="00FE24B7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OFERTENT NR 1</w:t>
      </w:r>
    </w:p>
    <w:p w:rsidR="00F17F6D" w:rsidRPr="00F17F6D" w:rsidRDefault="00FE24B7" w:rsidP="00F17F6D">
      <w:pPr>
        <w:spacing w:before="12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 xml:space="preserve">Analizując </w:t>
      </w:r>
      <w:r w:rsidR="00F17F6D" w:rsidRPr="00F17F6D">
        <w:rPr>
          <w:rFonts w:ascii="Verdana" w:hAnsi="Verdana"/>
          <w:sz w:val="22"/>
          <w:szCs w:val="22"/>
        </w:rPr>
        <w:t>dokumentację przetargową dotyczącą ww. przetargu, prosimy o odpowiedź na następujące pytania:</w:t>
      </w:r>
    </w:p>
    <w:p w:rsidR="00F17F6D" w:rsidRPr="00F17F6D" w:rsidRDefault="00F17F6D" w:rsidP="00F17F6D">
      <w:pPr>
        <w:pStyle w:val="Akapitzlist"/>
        <w:numPr>
          <w:ilvl w:val="0"/>
          <w:numId w:val="18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Zgodnie z SST należy wykonać podbudowę z AC16P dla KR2 zaś w przedmiarze jest wykonanie tej samej podbudowy, ale dla KR3.</w:t>
      </w:r>
    </w:p>
    <w:p w:rsidR="00F17F6D" w:rsidRPr="00F17F6D" w:rsidRDefault="00F17F6D" w:rsidP="00F17F6D">
      <w:pPr>
        <w:pStyle w:val="Akapitzlist"/>
        <w:numPr>
          <w:ilvl w:val="0"/>
          <w:numId w:val="18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Prosimy o dokładne sprecyzowanie, dla jakiej kategorii ruchu należy wykonać podbudowę bitumiczną.</w:t>
      </w:r>
    </w:p>
    <w:p w:rsidR="00F17F6D" w:rsidRPr="00F17F6D" w:rsidRDefault="00F17F6D" w:rsidP="00F17F6D">
      <w:pPr>
        <w:pStyle w:val="Akapitzlist"/>
        <w:numPr>
          <w:ilvl w:val="0"/>
          <w:numId w:val="18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Zgodnie z SST należy wykonać warstwą wyrównawczą i wiążącą z AC16W dla KR1-2 zaś w przedmiarze jest wykonanie tych samych warstw, ale dla KR3. Prosimy o dokładne sprecyzowanie, dla jakiej kategorii ruchu należy wykonać powyższe warstwy bitumiczne,</w:t>
      </w:r>
    </w:p>
    <w:p w:rsidR="00F17F6D" w:rsidRPr="00F17F6D" w:rsidRDefault="00F17F6D" w:rsidP="00F17F6D">
      <w:pPr>
        <w:pStyle w:val="Akapitzlist"/>
        <w:numPr>
          <w:ilvl w:val="0"/>
          <w:numId w:val="18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Czy Zamawiający dopuszcza zamianę projektowanej podbudowy gr. 10cm z mieszanki bitumicznej AC16P na AC22P ?</w:t>
      </w:r>
    </w:p>
    <w:p w:rsidR="00FE24B7" w:rsidRPr="00F17F6D" w:rsidRDefault="00FE24B7" w:rsidP="00F17F6D">
      <w:pPr>
        <w:jc w:val="both"/>
        <w:rPr>
          <w:rFonts w:ascii="Verdana" w:hAnsi="Verdana"/>
          <w:sz w:val="22"/>
          <w:szCs w:val="22"/>
        </w:rPr>
      </w:pPr>
    </w:p>
    <w:p w:rsidR="00F17F6D" w:rsidRDefault="00F17F6D" w:rsidP="002546CA">
      <w:pPr>
        <w:jc w:val="both"/>
        <w:rPr>
          <w:rFonts w:ascii="Verdana" w:hAnsi="Verdana"/>
          <w:b/>
          <w:sz w:val="22"/>
          <w:szCs w:val="22"/>
        </w:rPr>
      </w:pPr>
    </w:p>
    <w:p w:rsidR="00F17F6D" w:rsidRDefault="00F17F6D" w:rsidP="002546CA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OFERENT NR II</w:t>
      </w:r>
    </w:p>
    <w:p w:rsidR="00F17F6D" w:rsidRPr="00F17F6D" w:rsidRDefault="00F17F6D" w:rsidP="00F17F6D">
      <w:pPr>
        <w:pStyle w:val="Akapitzlist"/>
        <w:numPr>
          <w:ilvl w:val="0"/>
          <w:numId w:val="15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Zgodnie z opisem projektu do warstwy podbudowy z betonu asfaltowego o grubości 10cm należy stosować mieszankę o uziarnieniu 0(16mm - AC16P.</w:t>
      </w:r>
      <w:r>
        <w:rPr>
          <w:rFonts w:ascii="Verdana" w:hAnsi="Verdana"/>
          <w:sz w:val="22"/>
          <w:szCs w:val="22"/>
        </w:rPr>
        <w:t xml:space="preserve"> </w:t>
      </w:r>
      <w:r w:rsidRPr="00F17F6D">
        <w:rPr>
          <w:rFonts w:ascii="Verdana" w:hAnsi="Verdana"/>
          <w:sz w:val="22"/>
          <w:szCs w:val="22"/>
        </w:rPr>
        <w:t>Specyfikacja Techniczna D-04.07.01 odnosząca się do powyższej warstwy wymienia 2 rodzaje betonu asfaltowego -- o uziarnieniu 0/16mm ( AC16P ) i o uziarnieniu 0/22mm ( AC22P ). Ponadto Wymagania Techniczne WT-2 2010, na które powołuje się SST D</w:t>
      </w:r>
      <w:r w:rsidRPr="00F17F6D">
        <w:rPr>
          <w:rFonts w:ascii="Verdana" w:hAnsi="Verdana"/>
          <w:sz w:val="22"/>
          <w:szCs w:val="22"/>
        </w:rPr>
        <w:softHyphen/>
        <w:t xml:space="preserve">04.07.01 dopuszczają stosowanie dla mchu KR2 mieszankę AC16P lub AC22P w zależności od grubości warstwy gdzie będzie zastosowana mieszanka. Przy projektowanej grubości 10cm lub 7cm możliwe jest zastosowanie zarówno mieszanki AC16P jak również AC22P. Prosimy o potwierdzenie możliwości zastosowania na warstwę podbudowy mieszanki </w:t>
      </w:r>
      <w:r w:rsidRPr="00F17F6D">
        <w:rPr>
          <w:rFonts w:ascii="Verdana" w:hAnsi="Verdana"/>
          <w:sz w:val="22"/>
          <w:szCs w:val="22"/>
        </w:rPr>
        <w:lastRenderedPageBreak/>
        <w:t>AC16P lub AC22P albo jednoznaczne określenie rodzaju uziarnienia mieszanki na warstwę podbudowy.</w:t>
      </w:r>
    </w:p>
    <w:p w:rsidR="00F17F6D" w:rsidRPr="00F17F6D" w:rsidRDefault="00F17F6D" w:rsidP="00F17F6D">
      <w:pPr>
        <w:pStyle w:val="Akapitzlist"/>
        <w:numPr>
          <w:ilvl w:val="0"/>
          <w:numId w:val="15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 xml:space="preserve">Zgodnie z SST D-05,03.13a ( Tablica nr 5 i Tablica nr 10 ) wymieniono uziarnienie mieszanki SMA 0/8mm i 0/11mm. W tej samej SST wskazano w Tablicy 1 uziarnienie mieszanki SMA 0/5mm i 0/8mm.. W celu równorzędnej oceny ofert Wykonawców i </w:t>
      </w:r>
      <w:r>
        <w:rPr>
          <w:rFonts w:ascii="Verdana" w:hAnsi="Verdana"/>
          <w:sz w:val="22"/>
          <w:szCs w:val="22"/>
        </w:rPr>
        <w:t>przedstawienia pełn</w:t>
      </w:r>
      <w:r w:rsidRPr="00F17F6D">
        <w:rPr>
          <w:rFonts w:ascii="Verdana" w:hAnsi="Verdana"/>
          <w:sz w:val="22"/>
          <w:szCs w:val="22"/>
        </w:rPr>
        <w:t xml:space="preserve">ego opisu przedmiotu zamówienia prosimy o jednoznaczne określenie rodzaju uziarnienia dla </w:t>
      </w:r>
      <w:r>
        <w:rPr>
          <w:rFonts w:ascii="Verdana" w:hAnsi="Verdana"/>
          <w:sz w:val="22"/>
          <w:szCs w:val="22"/>
        </w:rPr>
        <w:t xml:space="preserve">warstwy ścieralnej z mieszanki </w:t>
      </w:r>
      <w:r w:rsidRPr="00F17F6D">
        <w:rPr>
          <w:rFonts w:ascii="Verdana" w:hAnsi="Verdana"/>
          <w:sz w:val="22"/>
          <w:szCs w:val="22"/>
        </w:rPr>
        <w:t>SMA.</w:t>
      </w:r>
    </w:p>
    <w:p w:rsidR="00F17F6D" w:rsidRPr="00F17F6D" w:rsidRDefault="00F17F6D" w:rsidP="00F17F6D">
      <w:pPr>
        <w:pStyle w:val="Akapitzlist"/>
        <w:numPr>
          <w:ilvl w:val="0"/>
          <w:numId w:val="15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 xml:space="preserve">Zgodnie z SST D-04.07.01 SST D-05.03.05b mieszanki na warstwę podbudowy i wiążącą-wyrównawczą z betonu asfaltowego mają spełniać wymagania jak dla ruchu KR2. W kosztorysie dla powyższych pozycji, tj. nr 12,13,14 jako rodzaj materiału wskazano mieszanki mineralno-asfaltowe dla ruchu KR3, Prosimy o jednoznaczne określenie kategorii ruchu dla mieszanek przeznaczonych na warstwy podbudowy i </w:t>
      </w:r>
      <w:r w:rsidR="00481D82">
        <w:rPr>
          <w:rFonts w:ascii="Verdana" w:hAnsi="Verdana"/>
          <w:sz w:val="22"/>
          <w:szCs w:val="22"/>
        </w:rPr>
        <w:t xml:space="preserve">wiążącej – </w:t>
      </w:r>
      <w:r w:rsidRPr="00F17F6D">
        <w:rPr>
          <w:rFonts w:ascii="Verdana" w:hAnsi="Verdana"/>
          <w:sz w:val="22"/>
          <w:szCs w:val="22"/>
        </w:rPr>
        <w:t>wyrównawczej z betonu asfaltowego.</w:t>
      </w:r>
    </w:p>
    <w:p w:rsidR="00F17F6D" w:rsidRPr="00F17F6D" w:rsidRDefault="00F17F6D" w:rsidP="00F17F6D">
      <w:pPr>
        <w:pStyle w:val="Akapitzlist"/>
        <w:numPr>
          <w:ilvl w:val="0"/>
          <w:numId w:val="15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W związku z obowiązkiem wykazania w ofercie części zamówienia, której wykonanie Wykonawca zamierza powierzyć podwykonawcom, prosimy o potwierdzenie, że dotyczy to wyłącznie podwykonawców robót budowlanych.</w:t>
      </w:r>
    </w:p>
    <w:p w:rsidR="00F17F6D" w:rsidRPr="00F17F6D" w:rsidRDefault="00F17F6D" w:rsidP="00F17F6D">
      <w:pPr>
        <w:pStyle w:val="Akapitzlist"/>
        <w:numPr>
          <w:ilvl w:val="0"/>
          <w:numId w:val="15"/>
        </w:numPr>
        <w:spacing w:before="120"/>
        <w:ind w:left="425" w:hanging="425"/>
        <w:contextualSpacing w:val="0"/>
        <w:jc w:val="both"/>
        <w:rPr>
          <w:rFonts w:ascii="Verdana" w:hAnsi="Verdana"/>
          <w:sz w:val="22"/>
          <w:szCs w:val="22"/>
        </w:rPr>
      </w:pPr>
      <w:r w:rsidRPr="00F17F6D">
        <w:rPr>
          <w:rFonts w:ascii="Verdana" w:hAnsi="Verdana"/>
          <w:sz w:val="22"/>
          <w:szCs w:val="22"/>
        </w:rPr>
        <w:t>Wykonawca wnosi o potwierdzenie, że Zamawiający będzie honorował referencje jako dowód wykonania robót budowlanych, Wykonawca wskazuje, iż referencje są w istocie poświadczeniami, bowiem poświadczają określony stan rzeczy oraz wskazane okoliczności faktyczne. Poświadczenia różni od referencji tylko to, iż referencje zawierają w sobie dodatkowy pozytywny aspekt, wskazujący na fakt wykonania danych robót budowlanych, a ich podstawową funkcją jest poświadczenie określonego stanu faktycznego.</w:t>
      </w:r>
    </w:p>
    <w:p w:rsidR="00FD2078" w:rsidRDefault="00FD2078" w:rsidP="002546CA">
      <w:pPr>
        <w:jc w:val="both"/>
        <w:rPr>
          <w:rFonts w:ascii="Verdana" w:hAnsi="Verdana"/>
          <w:b/>
          <w:sz w:val="22"/>
          <w:szCs w:val="22"/>
        </w:rPr>
      </w:pPr>
    </w:p>
    <w:p w:rsidR="00481D82" w:rsidRPr="00481D82" w:rsidRDefault="00481D82" w:rsidP="00481D82">
      <w:pPr>
        <w:spacing w:before="120"/>
        <w:rPr>
          <w:rFonts w:ascii="Verdana" w:hAnsi="Verdana"/>
          <w:b/>
          <w:sz w:val="22"/>
          <w:szCs w:val="22"/>
        </w:rPr>
      </w:pPr>
      <w:r w:rsidRPr="00481D82">
        <w:rPr>
          <w:rFonts w:ascii="Verdana" w:hAnsi="Verdana"/>
          <w:b/>
          <w:sz w:val="22"/>
          <w:szCs w:val="22"/>
        </w:rPr>
        <w:t>Odpowiadając na zapytania informuję:</w:t>
      </w:r>
    </w:p>
    <w:p w:rsidR="00481D82" w:rsidRPr="00481D82" w:rsidRDefault="00481D82" w:rsidP="00481D82">
      <w:pPr>
        <w:pStyle w:val="Akapitzlist"/>
        <w:numPr>
          <w:ilvl w:val="0"/>
          <w:numId w:val="20"/>
        </w:numPr>
        <w:spacing w:before="120"/>
        <w:ind w:left="426" w:hanging="426"/>
        <w:contextualSpacing w:val="0"/>
        <w:jc w:val="both"/>
        <w:rPr>
          <w:rFonts w:ascii="Verdana" w:hAnsi="Verdana"/>
          <w:b/>
          <w:sz w:val="22"/>
          <w:szCs w:val="22"/>
        </w:rPr>
      </w:pPr>
      <w:r w:rsidRPr="00481D82">
        <w:rPr>
          <w:rFonts w:ascii="Verdana" w:hAnsi="Verdana"/>
          <w:b/>
          <w:sz w:val="22"/>
          <w:szCs w:val="22"/>
        </w:rPr>
        <w:t>Mieszanki asfaltowe na podbudowę, warstwę wiążącą i wyrównawczą dla KR-2.</w:t>
      </w:r>
    </w:p>
    <w:p w:rsidR="00481D82" w:rsidRPr="00481D82" w:rsidRDefault="00481D82" w:rsidP="00481D82">
      <w:pPr>
        <w:pStyle w:val="Akapitzlist"/>
        <w:numPr>
          <w:ilvl w:val="0"/>
          <w:numId w:val="20"/>
        </w:numPr>
        <w:spacing w:before="120"/>
        <w:ind w:left="426" w:hanging="426"/>
        <w:contextualSpacing w:val="0"/>
        <w:jc w:val="both"/>
        <w:rPr>
          <w:rFonts w:ascii="Verdana" w:hAnsi="Verdana"/>
          <w:b/>
          <w:sz w:val="22"/>
          <w:szCs w:val="22"/>
        </w:rPr>
      </w:pPr>
      <w:r w:rsidRPr="00481D82">
        <w:rPr>
          <w:rFonts w:ascii="Verdana" w:hAnsi="Verdana"/>
          <w:b/>
          <w:sz w:val="22"/>
          <w:szCs w:val="22"/>
        </w:rPr>
        <w:t>Na podbudowę dopuszcza się zastosowanie mieszanki AC22P.</w:t>
      </w:r>
    </w:p>
    <w:p w:rsidR="00FD2078" w:rsidRDefault="00481D82" w:rsidP="002546CA">
      <w:pPr>
        <w:pStyle w:val="Akapitzlist"/>
        <w:numPr>
          <w:ilvl w:val="0"/>
          <w:numId w:val="20"/>
        </w:numPr>
        <w:spacing w:before="120"/>
        <w:ind w:left="426" w:hanging="426"/>
        <w:contextualSpacing w:val="0"/>
        <w:jc w:val="both"/>
        <w:rPr>
          <w:rFonts w:ascii="Verdana" w:hAnsi="Verdana"/>
          <w:b/>
          <w:sz w:val="22"/>
          <w:szCs w:val="22"/>
        </w:rPr>
      </w:pPr>
      <w:r w:rsidRPr="00481D82">
        <w:rPr>
          <w:rFonts w:ascii="Verdana" w:hAnsi="Verdana"/>
          <w:b/>
          <w:sz w:val="22"/>
          <w:szCs w:val="22"/>
        </w:rPr>
        <w:t xml:space="preserve">Do warstwy ścieralnej stosować mieszankę SMA8 /w </w:t>
      </w:r>
      <w:hyperlink r:id="rId11" w:history="1">
        <w:r w:rsidRPr="00481D82">
          <w:rPr>
            <w:rStyle w:val="Hipercze"/>
            <w:rFonts w:ascii="Verdana" w:hAnsi="Verdana"/>
            <w:b/>
            <w:color w:val="auto"/>
            <w:sz w:val="22"/>
            <w:szCs w:val="22"/>
            <w:u w:val="none"/>
          </w:rPr>
          <w:t>tab. nr</w:t>
        </w:r>
      </w:hyperlink>
      <w:r w:rsidRPr="00481D82">
        <w:rPr>
          <w:rFonts w:ascii="Verdana" w:hAnsi="Verdana"/>
          <w:b/>
          <w:sz w:val="22"/>
          <w:szCs w:val="22"/>
        </w:rPr>
        <w:t xml:space="preserve"> 5 i nr 10 SST D-05.03.13a, wyma</w:t>
      </w:r>
      <w:r w:rsidRPr="00481D82">
        <w:rPr>
          <w:rFonts w:ascii="Verdana" w:hAnsi="Verdana"/>
          <w:b/>
          <w:sz w:val="22"/>
          <w:szCs w:val="22"/>
        </w:rPr>
        <w:softHyphen/>
        <w:t>gana mieszanka jest oznaczona tekstem pogrubionym/.</w:t>
      </w:r>
    </w:p>
    <w:p w:rsidR="00481D82" w:rsidRDefault="00481D82" w:rsidP="002546CA">
      <w:pPr>
        <w:pStyle w:val="Akapitzlist"/>
        <w:numPr>
          <w:ilvl w:val="0"/>
          <w:numId w:val="20"/>
        </w:numPr>
        <w:spacing w:before="120"/>
        <w:ind w:left="426" w:hanging="426"/>
        <w:contextualSpacing w:val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Obowiązek wykazania</w:t>
      </w:r>
      <w:r w:rsidR="001A2B66">
        <w:rPr>
          <w:rFonts w:ascii="Verdana" w:hAnsi="Verdana"/>
          <w:b/>
          <w:sz w:val="22"/>
          <w:szCs w:val="22"/>
        </w:rPr>
        <w:t xml:space="preserve"> części zamówienia, której</w:t>
      </w:r>
      <w:r w:rsidR="001A2B66" w:rsidRPr="001A2B66">
        <w:rPr>
          <w:rFonts w:ascii="Verdana" w:hAnsi="Verdana"/>
          <w:b/>
          <w:sz w:val="22"/>
          <w:szCs w:val="22"/>
        </w:rPr>
        <w:t xml:space="preserve"> wykonanie Wykonawca zamierza powierzyć podwykonawcom dotyczy wyłącznie podwykonawców robót budowlanych.</w:t>
      </w:r>
    </w:p>
    <w:p w:rsidR="00481D82" w:rsidRDefault="001A2B66" w:rsidP="002546CA">
      <w:pPr>
        <w:pStyle w:val="Akapitzlist"/>
        <w:numPr>
          <w:ilvl w:val="0"/>
          <w:numId w:val="20"/>
        </w:numPr>
        <w:spacing w:before="120"/>
        <w:ind w:left="426" w:hanging="426"/>
        <w:contextualSpacing w:val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Zamawiający potwierdza, iż</w:t>
      </w:r>
      <w:r w:rsidRPr="001A2B66">
        <w:rPr>
          <w:rFonts w:ascii="Verdana" w:hAnsi="Verdana"/>
          <w:b/>
          <w:sz w:val="22"/>
          <w:szCs w:val="22"/>
        </w:rPr>
        <w:t xml:space="preserve"> jako </w:t>
      </w:r>
      <w:r>
        <w:rPr>
          <w:rFonts w:ascii="Verdana" w:hAnsi="Verdana"/>
          <w:b/>
          <w:sz w:val="22"/>
          <w:szCs w:val="22"/>
        </w:rPr>
        <w:t>poświadczenie</w:t>
      </w:r>
      <w:r w:rsidRPr="001A2B66">
        <w:rPr>
          <w:rFonts w:ascii="Verdana" w:hAnsi="Verdana"/>
          <w:b/>
          <w:sz w:val="22"/>
          <w:szCs w:val="22"/>
        </w:rPr>
        <w:t xml:space="preserve"> wykonania robót budowlanych mogą być przedłożone referencje jako dokument równoważny.</w:t>
      </w:r>
    </w:p>
    <w:p w:rsidR="00481D82" w:rsidRDefault="00481D82" w:rsidP="00481D82">
      <w:pPr>
        <w:spacing w:before="120"/>
        <w:jc w:val="both"/>
        <w:rPr>
          <w:rFonts w:ascii="Verdana" w:hAnsi="Verdana"/>
          <w:b/>
          <w:sz w:val="22"/>
          <w:szCs w:val="22"/>
        </w:rPr>
      </w:pPr>
    </w:p>
    <w:p w:rsidR="00481D82" w:rsidRPr="00481D82" w:rsidRDefault="00481D82" w:rsidP="00481D82">
      <w:pPr>
        <w:spacing w:before="120"/>
        <w:jc w:val="both"/>
        <w:rPr>
          <w:rFonts w:ascii="Verdana" w:hAnsi="Verdana"/>
          <w:b/>
          <w:sz w:val="22"/>
          <w:szCs w:val="22"/>
        </w:rPr>
      </w:pPr>
    </w:p>
    <w:p w:rsidR="00FD2078" w:rsidRDefault="00FD2078" w:rsidP="00FD2078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FD2078" w:rsidP="00FD2078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481D82">
      <w:footerReference w:type="default" r:id="rId12"/>
      <w:pgSz w:w="11906" w:h="16838"/>
      <w:pgMar w:top="851" w:right="1286" w:bottom="1134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3B3" w:rsidRDefault="002433B3">
      <w:r>
        <w:separator/>
      </w:r>
    </w:p>
  </w:endnote>
  <w:endnote w:type="continuationSeparator" w:id="1">
    <w:p w:rsidR="002433B3" w:rsidRDefault="00243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  <w:r w:rsidRPr="00FD2078">
      <w:rPr>
        <w:noProof/>
      </w:rPr>
      <w:drawing>
        <wp:inline distT="0" distB="0" distL="0" distR="0">
          <wp:extent cx="1137920" cy="529069"/>
          <wp:effectExtent l="19050" t="0" r="508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628" cy="5307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3B3" w:rsidRDefault="002433B3">
      <w:r>
        <w:separator/>
      </w:r>
    </w:p>
  </w:footnote>
  <w:footnote w:type="continuationSeparator" w:id="1">
    <w:p w:rsidR="002433B3" w:rsidRDefault="002433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0842"/>
    <w:multiLevelType w:val="singleLevel"/>
    <w:tmpl w:val="5385AFA7"/>
    <w:lvl w:ilvl="0">
      <w:start w:val="1"/>
      <w:numFmt w:val="decimal"/>
      <w:lvlText w:val="%1."/>
      <w:lvlJc w:val="left"/>
      <w:pPr>
        <w:tabs>
          <w:tab w:val="num" w:pos="288"/>
        </w:tabs>
        <w:ind w:left="144"/>
      </w:pPr>
      <w:rPr>
        <w:rFonts w:ascii="Arial" w:hAnsi="Arial" w:cs="Arial"/>
        <w:snapToGrid/>
        <w:spacing w:val="-8"/>
        <w:sz w:val="24"/>
        <w:szCs w:val="24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40C750F"/>
    <w:multiLevelType w:val="hybridMultilevel"/>
    <w:tmpl w:val="77546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1032C5"/>
    <w:multiLevelType w:val="singleLevel"/>
    <w:tmpl w:val="46F3A81A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snapToGrid/>
        <w:sz w:val="22"/>
        <w:szCs w:val="22"/>
      </w:rPr>
    </w:lvl>
  </w:abstractNum>
  <w:abstractNum w:abstractNumId="4">
    <w:nsid w:val="05D8AC05"/>
    <w:multiLevelType w:val="singleLevel"/>
    <w:tmpl w:val="338F93AB"/>
    <w:lvl w:ilvl="0">
      <w:start w:val="1"/>
      <w:numFmt w:val="decimal"/>
      <w:lvlText w:val="%1."/>
      <w:lvlJc w:val="left"/>
      <w:pPr>
        <w:tabs>
          <w:tab w:val="num" w:pos="648"/>
        </w:tabs>
      </w:pPr>
      <w:rPr>
        <w:snapToGrid/>
        <w:spacing w:val="-3"/>
        <w:sz w:val="24"/>
        <w:szCs w:val="24"/>
      </w:rPr>
    </w:lvl>
  </w:abstractNum>
  <w:abstractNum w:abstractNumId="5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6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7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95992"/>
    <w:multiLevelType w:val="hybridMultilevel"/>
    <w:tmpl w:val="19425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BF12C22"/>
    <w:multiLevelType w:val="hybridMultilevel"/>
    <w:tmpl w:val="97F4F56E"/>
    <w:lvl w:ilvl="0" w:tplc="79926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14"/>
  </w:num>
  <w:num w:numId="5">
    <w:abstractNumId w:val="13"/>
  </w:num>
  <w:num w:numId="6">
    <w:abstractNumId w:val="6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5"/>
  </w:num>
  <w:num w:numId="10">
    <w:abstractNumId w:val="9"/>
  </w:num>
  <w:num w:numId="11">
    <w:abstractNumId w:val="7"/>
  </w:num>
  <w:num w:numId="12">
    <w:abstractNumId w:val="4"/>
  </w:num>
  <w:num w:numId="13">
    <w:abstractNumId w:val="4"/>
    <w:lvlOverride w:ilvl="0">
      <w:lvl w:ilvl="0">
        <w:numFmt w:val="decimal"/>
        <w:lvlText w:val="%1."/>
        <w:lvlJc w:val="left"/>
        <w:pPr>
          <w:tabs>
            <w:tab w:val="num" w:pos="648"/>
          </w:tabs>
        </w:pPr>
        <w:rPr>
          <w:snapToGrid/>
          <w:sz w:val="22"/>
          <w:szCs w:val="22"/>
        </w:rPr>
      </w:lvl>
    </w:lvlOverride>
  </w:num>
  <w:num w:numId="14">
    <w:abstractNumId w:val="4"/>
    <w:lvlOverride w:ilvl="0">
      <w:lvl w:ilvl="0">
        <w:numFmt w:val="decimal"/>
        <w:lvlText w:val="%1."/>
        <w:lvlJc w:val="left"/>
        <w:pPr>
          <w:tabs>
            <w:tab w:val="num" w:pos="432"/>
          </w:tabs>
        </w:pPr>
        <w:rPr>
          <w:snapToGrid/>
          <w:spacing w:val="-3"/>
          <w:sz w:val="24"/>
          <w:szCs w:val="24"/>
        </w:rPr>
      </w:lvl>
    </w:lvlOverride>
  </w:num>
  <w:num w:numId="15">
    <w:abstractNumId w:val="2"/>
  </w:num>
  <w:num w:numId="16">
    <w:abstractNumId w:val="0"/>
  </w:num>
  <w:num w:numId="17">
    <w:abstractNumId w:val="0"/>
    <w:lvlOverride w:ilvl="0">
      <w:lvl w:ilvl="0">
        <w:numFmt w:val="decimal"/>
        <w:lvlText w:val="%1."/>
        <w:lvlJc w:val="left"/>
        <w:pPr>
          <w:tabs>
            <w:tab w:val="num" w:pos="360"/>
          </w:tabs>
          <w:ind w:left="144"/>
        </w:pPr>
        <w:rPr>
          <w:rFonts w:ascii="Arial" w:hAnsi="Arial" w:cs="Arial"/>
          <w:snapToGrid/>
          <w:spacing w:val="-2"/>
          <w:sz w:val="24"/>
          <w:szCs w:val="24"/>
        </w:rPr>
      </w:lvl>
    </w:lvlOverride>
  </w:num>
  <w:num w:numId="18">
    <w:abstractNumId w:val="8"/>
  </w:num>
  <w:num w:numId="19">
    <w:abstractNumId w:val="3"/>
  </w:num>
  <w:num w:numId="20">
    <w:abstractNumId w:val="1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44F9F"/>
    <w:rsid w:val="00052563"/>
    <w:rsid w:val="00060809"/>
    <w:rsid w:val="00065CF1"/>
    <w:rsid w:val="000F602B"/>
    <w:rsid w:val="001A2B66"/>
    <w:rsid w:val="001F330B"/>
    <w:rsid w:val="002008AF"/>
    <w:rsid w:val="00212A33"/>
    <w:rsid w:val="002433B3"/>
    <w:rsid w:val="002546CA"/>
    <w:rsid w:val="002733C6"/>
    <w:rsid w:val="00292546"/>
    <w:rsid w:val="002B462B"/>
    <w:rsid w:val="00324285"/>
    <w:rsid w:val="0033484B"/>
    <w:rsid w:val="00346801"/>
    <w:rsid w:val="00374354"/>
    <w:rsid w:val="003B2657"/>
    <w:rsid w:val="003D7594"/>
    <w:rsid w:val="003F7B9C"/>
    <w:rsid w:val="00425E97"/>
    <w:rsid w:val="004719C6"/>
    <w:rsid w:val="00481D82"/>
    <w:rsid w:val="004868D5"/>
    <w:rsid w:val="00491708"/>
    <w:rsid w:val="004A0728"/>
    <w:rsid w:val="00520FAC"/>
    <w:rsid w:val="0053706E"/>
    <w:rsid w:val="0056431D"/>
    <w:rsid w:val="005C348A"/>
    <w:rsid w:val="005C54BE"/>
    <w:rsid w:val="00602A9C"/>
    <w:rsid w:val="00604084"/>
    <w:rsid w:val="0061233C"/>
    <w:rsid w:val="00620DD8"/>
    <w:rsid w:val="00630488"/>
    <w:rsid w:val="0063616C"/>
    <w:rsid w:val="00662A87"/>
    <w:rsid w:val="00684022"/>
    <w:rsid w:val="006C1989"/>
    <w:rsid w:val="007120F9"/>
    <w:rsid w:val="0071319A"/>
    <w:rsid w:val="00722A05"/>
    <w:rsid w:val="007244B9"/>
    <w:rsid w:val="00772E70"/>
    <w:rsid w:val="007D5F24"/>
    <w:rsid w:val="007E6873"/>
    <w:rsid w:val="0084784E"/>
    <w:rsid w:val="00880C68"/>
    <w:rsid w:val="00893CE3"/>
    <w:rsid w:val="008B4934"/>
    <w:rsid w:val="008E195B"/>
    <w:rsid w:val="008F468F"/>
    <w:rsid w:val="00965985"/>
    <w:rsid w:val="009766E1"/>
    <w:rsid w:val="00983984"/>
    <w:rsid w:val="00985FCB"/>
    <w:rsid w:val="00987B6B"/>
    <w:rsid w:val="00A27D66"/>
    <w:rsid w:val="00A43472"/>
    <w:rsid w:val="00A57A44"/>
    <w:rsid w:val="00A75E05"/>
    <w:rsid w:val="00AA316A"/>
    <w:rsid w:val="00AF109F"/>
    <w:rsid w:val="00B11F6A"/>
    <w:rsid w:val="00B85046"/>
    <w:rsid w:val="00B90D6A"/>
    <w:rsid w:val="00BA0C7E"/>
    <w:rsid w:val="00BA71B5"/>
    <w:rsid w:val="00BE3EC9"/>
    <w:rsid w:val="00BE7C84"/>
    <w:rsid w:val="00C25E49"/>
    <w:rsid w:val="00C841AF"/>
    <w:rsid w:val="00D06911"/>
    <w:rsid w:val="00D41F1B"/>
    <w:rsid w:val="00D45793"/>
    <w:rsid w:val="00D56F6F"/>
    <w:rsid w:val="00D76A63"/>
    <w:rsid w:val="00DA2F21"/>
    <w:rsid w:val="00DD6B14"/>
    <w:rsid w:val="00DE07DE"/>
    <w:rsid w:val="00E113B1"/>
    <w:rsid w:val="00E3248A"/>
    <w:rsid w:val="00E67CD1"/>
    <w:rsid w:val="00E820C5"/>
    <w:rsid w:val="00ED145E"/>
    <w:rsid w:val="00EF4F59"/>
    <w:rsid w:val="00F17F6D"/>
    <w:rsid w:val="00F2373E"/>
    <w:rsid w:val="00F32665"/>
    <w:rsid w:val="00F5006E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ab.nr" TargetMode="Externa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3969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2014-05-07T08:45:00Z</cp:lastPrinted>
  <dcterms:created xsi:type="dcterms:W3CDTF">2014-05-06T12:51:00Z</dcterms:created>
  <dcterms:modified xsi:type="dcterms:W3CDTF">2014-05-07T10:52:00Z</dcterms:modified>
</cp:coreProperties>
</file>