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38D" w:rsidRPr="00531FD4" w:rsidRDefault="0042538D" w:rsidP="004253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</w:pPr>
      <w:r w:rsidRPr="00531FD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>Mieszkanie na start- dopłaty do czynszu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Dopłaty do czynszu w ramach programu Mieszkanie na Start skierowane są do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osób, które podpisały umowy najmu lokali mieszkalnych wybudowanych przy ul. </w:t>
      </w:r>
      <w:r w:rsidR="005722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C.K. Norwida w Białym Borze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dopłaty skorzystasz, jeśli: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zawarłeś z inwestorem umowę najmu lokalu mieszkalnego;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jesteś osobą fizyczną posiadającą obywatelstwo polskie i mieszkasz na terytorium Rzeczypospolitej Polskiej lub jesteś cudzoziemcem (z prawem pobytu/prawem stałego pobytu w Polsce, przebywasz na terytorium Polski na podstawie zezwolenia na pobyt czasowy lub masz kartę pobytu z adnotacją „dostęp do rynku pracy”);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jesteś właścicielem lub współwłaścicielem budynku mieszkalnego jednorodzinnego lub lokalu mieszkalnego;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Ci w całości lub w części, spółdzielcze własnościowe prawo do lokalu, którego przedmiotem jest lokal mieszkalny lub dom jednorodzinny;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jesteś właścicielem lub współwłaścicielem budynku, jeżeli jego udział w przypadku zniesienia współwłasności obejmowałby co najmniej jedno mieszkanie;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jesteś najemcą lokalu mieszkalnego wchodzącego w skład mieszkaniowego zasobu gminy,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jesteś najemcą innego niż określony w lit. f lokalu mieszkalnego utworzonego przy wykorzystaniu finansowania zwrotnego lub kredytu udzielonego przez Bank Gospodarstwa Krajowego,</w:t>
      </w:r>
    </w:p>
    <w:p w:rsidR="0042538D" w:rsidRPr="0042538D" w:rsidRDefault="0042538D" w:rsidP="0057222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jesteś osobą, której przysługuje spółdzielcze lokatorskie prawo do lokalu, którego przedmiotem jest lokal mieszkalny lub dom jednorodzinny.</w:t>
      </w:r>
    </w:p>
    <w:p w:rsidR="0042538D" w:rsidRPr="0042538D" w:rsidRDefault="0042538D" w:rsidP="004253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spełniasz kryterium dochodowe. </w:t>
      </w:r>
    </w:p>
    <w:p w:rsidR="0042538D" w:rsidRPr="0042538D" w:rsidRDefault="0042538D" w:rsidP="00264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 dniu złożenia wniosku o dopłaty najemca (lub osoba wchodząca w skład gospodarstwa domowego) jest osobą, o której mowa w  pkt. </w:t>
      </w:r>
      <w:proofErr w:type="spellStart"/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f-h</w:t>
      </w:r>
      <w:proofErr w:type="spellEnd"/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, warunkiem udzielenia dopłat jest zobowiązanie się najemcy do:</w:t>
      </w:r>
    </w:p>
    <w:p w:rsidR="0042538D" w:rsidRPr="0042538D" w:rsidRDefault="0042538D" w:rsidP="00264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- rozwiązania umowy najmu i opróżnienia lokalu mieszkalnego lub</w:t>
      </w:r>
    </w:p>
    <w:p w:rsidR="0042538D" w:rsidRPr="0042538D" w:rsidRDefault="0042538D" w:rsidP="00264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- zrzeczenia się spółdzielczego lokatorskiego prawa do lokalu, którego przedmiotem jest lokal mieszkalny lub dom jednorodzinny, na rzecz spółdzielni mieszkaniowej i opróżnienia tego lokalu lub domu.</w:t>
      </w:r>
    </w:p>
    <w:p w:rsidR="0042538D" w:rsidRPr="0042538D" w:rsidRDefault="000F0515" w:rsidP="00264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64A77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należy składać w Urzędzie Miejskim w Białym Borze przy ul. Słupskiej 10, 78-425 Biały Bór - Biuro obsługi interesanta, pokój nr 8.</w:t>
      </w:r>
      <w:r w:rsidR="0042538D"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Wydanie decyzji następuje w ciągu miesiąca od dnia złożenia wniosku.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Kryterium dochodowe</w:t>
      </w:r>
    </w:p>
    <w:p w:rsidR="0042538D" w:rsidRPr="0042538D" w:rsidRDefault="0042538D" w:rsidP="00264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 miesięczny dochód Twojego gospodarstwa domowego (w okresie podlegającym analizie) nie przekracza:</w:t>
      </w:r>
    </w:p>
    <w:p w:rsidR="0042538D" w:rsidRPr="0042538D" w:rsidRDefault="0042538D" w:rsidP="000F051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jednoosobowych gospodarstw domowych -100% ;</w:t>
      </w:r>
    </w:p>
    <w:p w:rsidR="0042538D" w:rsidRPr="0042538D" w:rsidRDefault="0042538D" w:rsidP="000F051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pozostałych gospodarstw – 100% zwiększonego o dodatkowe 40% na każdą kolejną osobę w gospodarstwie domowym </w:t>
      </w:r>
    </w:p>
    <w:p w:rsidR="0042538D" w:rsidRPr="00531FD4" w:rsidRDefault="0042538D" w:rsidP="000F05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przeciętnego wynagrodzenia w gospodarce ostatnio ogłoszonego przez Prezesa GUS.</w:t>
      </w:r>
      <w:r w:rsidR="0057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</w:t>
      </w:r>
      <w:r w:rsidR="00572225" w:rsidRPr="00531F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2024 r.  jest to kwota  8.</w:t>
      </w:r>
      <w:r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181,72 zł)</w:t>
      </w:r>
    </w:p>
    <w:p w:rsidR="00531FD4" w:rsidRDefault="00531FD4" w:rsidP="000F05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F0515" w:rsidRPr="0042538D" w:rsidRDefault="000F0515" w:rsidP="000F051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66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57"/>
        <w:gridCol w:w="2333"/>
      </w:tblGrid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F0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liczba osób w gospodarstwie domowym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maksymalny dochód</w:t>
            </w:r>
          </w:p>
        </w:tc>
      </w:tr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osoba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8 181,72 zł</w:t>
            </w:r>
          </w:p>
        </w:tc>
      </w:tr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 osoby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11 454,41 zł</w:t>
            </w:r>
          </w:p>
        </w:tc>
      </w:tr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 osoby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14 727,10 zł</w:t>
            </w:r>
          </w:p>
        </w:tc>
      </w:tr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 osoby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17 999,78 zł</w:t>
            </w:r>
          </w:p>
        </w:tc>
      </w:tr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 osób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21 272,47 zł</w:t>
            </w:r>
          </w:p>
        </w:tc>
      </w:tr>
      <w:tr w:rsidR="0042538D" w:rsidRPr="0042538D" w:rsidTr="0042538D">
        <w:trPr>
          <w:tblCellSpacing w:w="0" w:type="dxa"/>
        </w:trPr>
        <w:tc>
          <w:tcPr>
            <w:tcW w:w="3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 osób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24 545,16 zł</w:t>
            </w:r>
          </w:p>
        </w:tc>
      </w:tr>
    </w:tbl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liczenia dochodu gospodarstwa domowego uzależniony jest od terminu złożenia wniosku o dopłatę.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wniosek zostanie złożony w okresie:</w:t>
      </w:r>
    </w:p>
    <w:p w:rsidR="0042538D" w:rsidRDefault="0042538D" w:rsidP="0042538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 1 sierpnia 2025 r. do 31 grudnia 2025 r. - 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się dochód gospodarstwa domowego osiągnięty w 2024 roku,</w:t>
      </w:r>
    </w:p>
    <w:p w:rsidR="000F0515" w:rsidRPr="0042538D" w:rsidRDefault="000F0515" w:rsidP="000F05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1 stycznia 2026 r. do 31 lipca 2026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- 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się dochód gospoda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rstwa domowego osiągnięty w 2024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Dochód liczony jest w oparciu o przepisy ustawy o świadczeniach rodzinnych.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wyliczenia wysokości dopłaty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 normatywna lokalu* x średni wskaźnik przeliczeniowy kosztu odtworzenia 1 m2 pow. użytkowej budynków mieszkalnych, obowiązujący w dniu złożenia wniosku x  współczynnik 1,8% /12.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 normatywna mieszkania wynosi 20 m2 dla gospodarstwa jednoosobowego.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 ulega zwiększeniu o 15 m2 dla każdej dodatkowej osoby w gospodarstwie.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* Jeżeli powierzchnia normatywna jest większa niż pow. użytkowa lokalu, do obliczeń przyjmujemy pow. użytkową mieszkania</w:t>
      </w:r>
    </w:p>
    <w:tbl>
      <w:tblPr>
        <w:tblW w:w="681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3827"/>
      </w:tblGrid>
      <w:tr w:rsidR="0042538D" w:rsidRPr="0042538D" w:rsidTr="000022D9">
        <w:trPr>
          <w:trHeight w:val="498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osób w gospodarstwie domowym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4253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 normatywna, nie więcej niż powierzchnia mieszkania</w:t>
            </w:r>
          </w:p>
        </w:tc>
      </w:tr>
      <w:tr w:rsidR="0042538D" w:rsidRPr="0042538D" w:rsidTr="000022D9">
        <w:trPr>
          <w:trHeight w:val="15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 m2</w:t>
            </w:r>
          </w:p>
        </w:tc>
      </w:tr>
      <w:tr w:rsidR="0042538D" w:rsidRPr="0042538D" w:rsidTr="000022D9">
        <w:trPr>
          <w:trHeight w:val="15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 m2</w:t>
            </w:r>
          </w:p>
        </w:tc>
      </w:tr>
      <w:tr w:rsidR="0042538D" w:rsidRPr="0042538D" w:rsidTr="000022D9">
        <w:trPr>
          <w:trHeight w:val="15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 m2</w:t>
            </w:r>
          </w:p>
        </w:tc>
      </w:tr>
      <w:tr w:rsidR="0042538D" w:rsidRPr="0042538D" w:rsidTr="000022D9">
        <w:trPr>
          <w:trHeight w:val="15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 m2</w:t>
            </w:r>
          </w:p>
        </w:tc>
      </w:tr>
      <w:tr w:rsidR="0042538D" w:rsidRPr="0042538D" w:rsidTr="000022D9">
        <w:trPr>
          <w:trHeight w:val="15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 m2</w:t>
            </w:r>
          </w:p>
        </w:tc>
      </w:tr>
      <w:tr w:rsidR="0042538D" w:rsidRPr="0042538D" w:rsidTr="000022D9">
        <w:trPr>
          <w:trHeight w:val="15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538D" w:rsidRPr="0042538D" w:rsidRDefault="0042538D" w:rsidP="000022D9">
            <w:pPr>
              <w:spacing w:before="100" w:beforeAutospacing="1" w:after="100" w:afterAutospacing="1" w:line="15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53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 m2</w:t>
            </w:r>
          </w:p>
        </w:tc>
      </w:tr>
    </w:tbl>
    <w:p w:rsidR="0042538D" w:rsidRPr="0042538D" w:rsidRDefault="0042538D" w:rsidP="00425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Dopłaty do czynszu wypłaca się w okresach miesięcznych na rachunek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inwestora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Dopłaty udzielane są na okres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 lat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koniecznością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corocznej weryfikacji uprawnienia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dopłat.</w:t>
      </w:r>
      <w:r w:rsidR="000F0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uzyskiwania dopłat najemca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może podnajmować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mieszkania lub jego części.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Jeżeli w wyniku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wznowienia postępowania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stwierdzono, że dopłaty przyznano na podstawie fałszywych oświadczeń lub dokumentów albo w innych przypadkach świadomego wprowadzenia organu właściwego w błąd przez najemcę, najemca jest obowiązany do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zwrotu nienależnie pobranych kwot wraz z odsetkami ustawowymi.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Odsetki są naliczane od dnia następującego po dniu wpłaty pierwszej nienależnie pobranej kwoty na rachunek wynajmującego do dnia dokonania zwrotu nienależnie pobranych kwot.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Wymagane dokumenty 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5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wniosek o dopłaty do czynszu</w:t>
        </w:r>
      </w:hyperlink>
      <w:hyperlink r:id="rId6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,</w:t>
        </w:r>
      </w:hyperlink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7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oświadczenie o wysokości dochodów gospodarstwa domowego najemcy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8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oświadczenie o liczbie osób wchodzących w skład gospodarstwa domowego najemcy,</w:t>
        </w:r>
      </w:hyperlink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9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oświadczenie o nieprzysługiwaniu prawa własności/współwłasności/spółdzielczego własnościowego prawa do lokalu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10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zobowiązanie do rozwiązania umowy najmu/zrzeczenia się spółdzielczego lokatorskiego prawa do lokalu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jeśli dotyczy,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11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oświadczenie o wcześniejszym stosowaniu dopłat do czynszu wobec najemcy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- jeśli dotyczy (przypadek, o którym mowa </w:t>
      </w:r>
      <w:hyperlink r:id="rId12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w art. 9 ust. 3 ustawy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13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oświadczenie o wcześniejszym stosowaniu dopłat do czynszu wobec osoby, która w przeszłości była najemcą innego mieszkania, w związku z najmem którego były stosowane dopłaty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jeśli dotyczy (przypadek, o którym mowa </w:t>
      </w:r>
      <w:hyperlink r:id="rId14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w art. 9 ust. 4 ustawy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hyperlink r:id="rId15" w:history="1">
        <w:r w:rsidRPr="00F55A3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oświadczenie o wcześniejszym stosowaniu dopłat do czynszu wobec zmarłego najemcy</w:t>
        </w:r>
      </w:hyperlink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jeśli dotyczy,  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kopia umowy najmu,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wniesienia opłaty skarbowej,</w:t>
      </w:r>
    </w:p>
    <w:p w:rsidR="0042538D" w:rsidRPr="0042538D" w:rsidRDefault="0042538D" w:rsidP="0042538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stwierdzające wysokość dochodu osób w gospodarstwie domowym.</w:t>
      </w:r>
    </w:p>
    <w:p w:rsidR="0042538D" w:rsidRPr="0042538D" w:rsidRDefault="004954D3" w:rsidP="00BF5E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1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wydanie decyzji pobierana jest o</w:t>
      </w:r>
      <w:r w:rsidR="0042538D" w:rsidRPr="00531F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płata skarbowa</w:t>
      </w:r>
      <w:r w:rsidRPr="00531F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</w:t>
      </w:r>
      <w:r w:rsidR="0042538D"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42538D"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proofErr w:type="spellEnd"/>
      <w:r w:rsidR="0042538D"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42538D"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zgodnie z pkt. 53 załącznika do ustawy z dnia 16 listopada 2006 r. o opłacie skarbowej.</w:t>
      </w:r>
    </w:p>
    <w:p w:rsidR="0042538D" w:rsidRPr="0042538D" w:rsidRDefault="0042538D" w:rsidP="00BF5E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Wpłat z tytułu opłaty skarbowej można dokonywać na rachunek bankowy Urzędu Mi</w:t>
      </w:r>
      <w:r w:rsidR="00587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ejskiego w Białym </w:t>
      </w:r>
      <w:r w:rsidR="00587901" w:rsidRPr="00A77C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Borze </w:t>
      </w:r>
      <w:r w:rsidR="00A77C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Bank Spółdzielczy w Sławnie nr </w:t>
      </w:r>
      <w:r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="00A77CBF" w:rsidRPr="00A77CBF">
        <w:rPr>
          <w:rFonts w:ascii="Times New Roman" w:hAnsi="Times New Roman" w:cs="Times New Roman"/>
          <w:b/>
        </w:rPr>
        <w:t>37 9317 1025 1300 1023 2000 0003</w:t>
      </w:r>
      <w:r w:rsidR="00A77CBF">
        <w:t xml:space="preserve"> </w:t>
      </w: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A77C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BF5E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Urzędzie Miejskim w Białym Borze przy ul. Słupskiej 10 w </w:t>
      </w:r>
      <w:r w:rsidR="00A77CBF">
        <w:rPr>
          <w:rFonts w:ascii="Times New Roman" w:eastAsia="Times New Roman" w:hAnsi="Times New Roman" w:cs="Times New Roman"/>
          <w:sz w:val="24"/>
          <w:szCs w:val="24"/>
          <w:lang w:eastAsia="pl-PL"/>
        </w:rPr>
        <w:t>biurze obsługi interesanta</w:t>
      </w:r>
      <w:r w:rsidR="00BF5E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pokój nr 8.</w:t>
      </w:r>
      <w:r w:rsidR="00A77C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55A3C" w:rsidRPr="00BF5E60" w:rsidRDefault="0042538D" w:rsidP="00BF5E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tytule należy podać: </w:t>
      </w:r>
      <w:r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A77CBF" w:rsidRPr="00BF5E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opłata skarbowa -</w:t>
      </w:r>
      <w:r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dopłata do czynszu ul. </w:t>
      </w:r>
      <w:r w:rsidR="004954D3" w:rsidRPr="00BF5E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C.K. Norwida  </w:t>
      </w:r>
      <w:r w:rsidRPr="004253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lokal nr…..”</w:t>
      </w:r>
    </w:p>
    <w:p w:rsidR="0042538D" w:rsidRPr="0042538D" w:rsidRDefault="0042538D" w:rsidP="00BF5E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finansowane jest z budżetu państwa.</w:t>
      </w:r>
    </w:p>
    <w:p w:rsidR="0042538D" w:rsidRPr="0042538D" w:rsidRDefault="0042538D" w:rsidP="004253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Weryfikacja uprawnień do dopłat do czynszu</w:t>
      </w:r>
    </w:p>
    <w:p w:rsidR="0042538D" w:rsidRPr="0042538D" w:rsidRDefault="0042538D" w:rsidP="004168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>Osoby, którym zostały przyznane dopłaty do czynszu są zobowiązane do corocznego składania oświadczenia o liczbie osób wchodzących w skład gospodarstwa domowego i wysokości dochodów w celu dokonania weryfikacji średniego miesięcznego dochodu w gospodarstwie domowym.</w:t>
      </w:r>
    </w:p>
    <w:p w:rsidR="0042538D" w:rsidRPr="0042538D" w:rsidRDefault="0042538D" w:rsidP="004168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do corocznej weryfikacji należy składać 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wcześniej niż w terminie dwóch miesięcy, jednak nie później niż w terminie miesiąca przed rozpoczęciem każdych kolejnych 12 miesięcy, w jakich dopłaty będą stosowane.</w:t>
      </w:r>
    </w:p>
    <w:p w:rsidR="0042538D" w:rsidRPr="0042538D" w:rsidRDefault="0042538D" w:rsidP="004168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Pracownicy </w:t>
      </w:r>
      <w:r w:rsidR="004168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urzędu Miejskiego w Białym Borze</w:t>
      </w:r>
      <w:r w:rsidRPr="004253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będą kontaktować się telefonicznie lub mailowo z najemcami lokali mieszkalnych  w sprawie weryfikacji uprawnień do otrzymywania dopłat do czynszu. </w:t>
      </w:r>
    </w:p>
    <w:p w:rsidR="00E91EEC" w:rsidRDefault="00E91EEC"/>
    <w:sectPr w:rsidR="00E91EEC" w:rsidSect="000F051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16D9"/>
    <w:multiLevelType w:val="multilevel"/>
    <w:tmpl w:val="688E67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DC4D24"/>
    <w:multiLevelType w:val="multilevel"/>
    <w:tmpl w:val="3D6E18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F73EDB"/>
    <w:multiLevelType w:val="multilevel"/>
    <w:tmpl w:val="446AF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F07061"/>
    <w:multiLevelType w:val="multilevel"/>
    <w:tmpl w:val="19FEA72A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42538D"/>
    <w:rsid w:val="000022D9"/>
    <w:rsid w:val="000F0515"/>
    <w:rsid w:val="00264A77"/>
    <w:rsid w:val="0041683A"/>
    <w:rsid w:val="0042538D"/>
    <w:rsid w:val="004954D3"/>
    <w:rsid w:val="00531FD4"/>
    <w:rsid w:val="00572225"/>
    <w:rsid w:val="00587901"/>
    <w:rsid w:val="00792745"/>
    <w:rsid w:val="00A77CBF"/>
    <w:rsid w:val="00BF5E60"/>
    <w:rsid w:val="00E91EEC"/>
    <w:rsid w:val="00F55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25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2538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2538D"/>
    <w:rPr>
      <w:color w:val="0000FF"/>
      <w:u w:val="single"/>
    </w:rPr>
  </w:style>
  <w:style w:type="paragraph" w:customStyle="1" w:styleId="textcenter">
    <w:name w:val="textcenter"/>
    <w:basedOn w:val="Normalny"/>
    <w:rsid w:val="00425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5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53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9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ikimpi.krakow.pl/zalacznik/426709" TargetMode="External"/><Relationship Id="rId13" Type="http://schemas.openxmlformats.org/officeDocument/2006/relationships/hyperlink" Target="https://plikimpi.krakow.pl/zalacznik/4267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ikimpi.krakow.pl/zalacznik/426710" TargetMode="External"/><Relationship Id="rId12" Type="http://schemas.openxmlformats.org/officeDocument/2006/relationships/hyperlink" Target="https://plikimpi.krakow.pl/zalacznik/42670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likimpi.krakow.pl/zalacznik/426696" TargetMode="External"/><Relationship Id="rId11" Type="http://schemas.openxmlformats.org/officeDocument/2006/relationships/hyperlink" Target="https://plikimpi.krakow.pl/zalacznik/426713" TargetMode="External"/><Relationship Id="rId5" Type="http://schemas.openxmlformats.org/officeDocument/2006/relationships/hyperlink" Target="https://plikimpi.krakow.pl/zalacznik/426708" TargetMode="External"/><Relationship Id="rId15" Type="http://schemas.openxmlformats.org/officeDocument/2006/relationships/hyperlink" Target="https://plikimpi.krakow.pl/zalacznik/426715" TargetMode="External"/><Relationship Id="rId10" Type="http://schemas.openxmlformats.org/officeDocument/2006/relationships/hyperlink" Target="https://plikimpi.krakow.pl/zalacznik/4267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ikimpi.krakow.pl/zalacznik/426711" TargetMode="External"/><Relationship Id="rId14" Type="http://schemas.openxmlformats.org/officeDocument/2006/relationships/hyperlink" Target="https://plikimpi.krakow.pl/zalacznik/42670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1085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2025-11-21T07:33:00Z</cp:lastPrinted>
  <dcterms:created xsi:type="dcterms:W3CDTF">2025-11-21T07:07:00Z</dcterms:created>
  <dcterms:modified xsi:type="dcterms:W3CDTF">2025-11-21T07:33:00Z</dcterms:modified>
</cp:coreProperties>
</file>